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ASWATH SUBRAMANIAN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t xml:space="preserve">Energy &amp; Manufacturing (PV Systems · Thin-Film Technologies · Scale-Up &amp; Feasibility)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Arnhem</w:t>
      </w:r>
      <w:r w:rsidDel="00000000" w:rsidR="00000000" w:rsidRPr="00000000">
        <w:rPr>
          <w:sz w:val="20"/>
          <w:szCs w:val="20"/>
          <w:rtl w:val="0"/>
        </w:rPr>
        <w:t xml:space="preserve"> | +31616126965 |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aswath.subramanian@outlook.com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linkedin.com/in/aswath-subramanian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2" w:sz="8" w:val="single"/>
        </w:pBdr>
        <w:spacing w:after="240" w:before="240" w:line="276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Engineer with 6+ years of experience operating at the intersection of energy systems design, thin-film R&amp;D, and industrial manufacturing, supporting technical decision-making across early feasibility, process scale-up, and operational execution. 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Experienced in identifying physical, process, and organizational constraints before they become cost, yield, or reliability failures. Combines hands-on engineering depth with structured analysis to help teams stress-test designs, reduce execution risk, and align technical choices with real-world operational limits.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bottom w:color="000000" w:space="2" w:sz="8" w:val="single"/>
        </w:pBdr>
        <w:spacing w:after="80" w:lineRule="auto"/>
        <w:rPr>
          <w:b w:val="1"/>
          <w:bCs w:val="1"/>
          <w:sz w:val="28"/>
          <w:szCs w:val="28"/>
        </w:rPr>
      </w:pPr>
      <w:bookmarkStart w:colFirst="0" w:colLast="0" w:name="_x62g5bna6or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ADVISORY &amp; TECHNICAL FOCUS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Early-stage feasibility &amp; constraint identification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Lab-to-factory transition &amp; scale-up readiness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Thin-film process robustness &amp; manufacturability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Cross-functional technical–commercial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bottom w:color="000000" w:space="2" w:sz="8" w:val="single"/>
        </w:pBdr>
        <w:spacing w:after="80" w:lineRule="auto"/>
        <w:rPr>
          <w:b w:val="1"/>
          <w:bCs w:val="1"/>
          <w:sz w:val="28"/>
          <w:szCs w:val="28"/>
        </w:rPr>
      </w:pPr>
      <w:bookmarkStart w:colFirst="0" w:colLast="0" w:name="_vs1we7v26tj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Engineer</w:t>
      </w:r>
      <w:r w:rsidDel="00000000" w:rsidR="00000000" w:rsidRPr="00000000">
        <w:rPr>
          <w:rtl w:val="0"/>
        </w:rPr>
        <w:t xml:space="preserve">  - LIFT PV BV (formerly HyET Solar) Arnhem | Sep 2024 – Present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Hands-on R&amp;D role focused on feasibility, process robustness, and manufacturing readiness of thin-film PV technologies.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Led lab-scale, physics-constrained optimization of CVD oxide thin films using DoE-driven recipe development, reducing sheet resistance by ~40% (≈25 → ≈15 Ω/□) while maintaining optical transmission and thickness uniformity relevant for device integration.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De-risked evaluation of a novel polymer/TCO substrate by leading first lab and pilot-scale trials, demonstrating processing feasibility beyond conventional thermal budgets (&gt;500 °C vs ~120 °C) and informing early architectural trade-offs.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machine-level quality sensitivity and data analysis pipeline for APCVD operations, identifying traceability and datalogging gaps relevant for future manufacturing readiness.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Defined a safety and technical upgrade roadmap for laser scribing of lead-based perovskite devices, outlining requirements and constraints for compliant recommissioning.</w:t>
      </w:r>
    </w:p>
    <w:p w:rsidR="00000000" w:rsidDel="00000000" w:rsidP="00000000" w:rsidRDefault="00000000" w:rsidRPr="00000000" w14:paraId="00000010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Own and maintain lab-scale thin-film processing infrastructure (APCVD, sputtering, lamination, wet etching), supporting rapid experimentation and root-cause analysis.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PV System Engineer</w:t>
      </w:r>
      <w:r w:rsidDel="00000000" w:rsidR="00000000" w:rsidRPr="00000000">
        <w:rPr>
          <w:rtl w:val="0"/>
        </w:rPr>
        <w:t xml:space="preserve">  - Sungevity Netherlands, Amsterdam | Jan 2022 – Aug 2024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System design role bridging commercial, technical, and operational constraints in residential PV.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Acted as a technical bridge between sales, design, installation, and aftersales teams, translating B2B and B2C requirements into rooftop PV system designs across 16 housing corporations in the NL–BE residential market.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Identified structural inefficiencies in the PV design workflow and implemented standardized design logic, reducing per-project design cost by 29% (€90 → €64) while improving design consistency and downstream execution reliability.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Diagnosed revenue leakage between quoting, design, and invoicing processes and implemented a feedback loop that recovered ~€10k/month in lost revenue.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operational handover from design to installation and aftersales, ensuring system feasibility, long-term performance, and reduced rework risk.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 Engineer</w:t>
      </w:r>
      <w:r w:rsidDel="00000000" w:rsidR="00000000" w:rsidRPr="00000000">
        <w:rPr>
          <w:rtl w:val="0"/>
        </w:rPr>
        <w:t xml:space="preserve">  - ITC Limited, Chennai | Jul 2017 – Aug 2019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Manufacturing and operations </w:t>
      </w:r>
      <w:r w:rsidDel="00000000" w:rsidR="00000000" w:rsidRPr="00000000">
        <w:rPr>
          <w:i w:val="1"/>
          <w:iCs w:val="1"/>
          <w:rtl w:val="0"/>
        </w:rPr>
        <w:t xml:space="preserve">role</w:t>
      </w:r>
      <w:r w:rsidDel="00000000" w:rsidR="00000000" w:rsidRPr="00000000">
        <w:rPr>
          <w:i w:val="1"/>
          <w:iCs w:val="1"/>
          <w:rtl w:val="0"/>
        </w:rPr>
        <w:t xml:space="preserve"> focused on throughput, quality, and process stability.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Scaled rigid box module production from ~2,000 to 9,000+ units/day by redesigning line layouts and staffing models, balancing throughput, quality, and operator constraints.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Reduced gravure make-ready time by ~12% through time–motion studies and FMEA-driven process analysis.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Coordinated and audited module-level compliance for ISO 9001, ISO 14001, BRC standards, and 5S principles, supporting audit readiness and operational stability.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30+ Kaizen initiatives across shopfloor operations, coordinating operators, subcontractors, and timelines to address recurring bottlenecks and quality losses.</w:t>
      </w:r>
    </w:p>
    <w:p w:rsidR="00000000" w:rsidDel="00000000" w:rsidP="00000000" w:rsidRDefault="00000000" w:rsidRPr="00000000" w14:paraId="0000001C">
      <w:pPr>
        <w:pBdr>
          <w:bottom w:color="000000" w:space="2" w:sz="8" w:val="single"/>
        </w:pBdr>
        <w:spacing w:after="240" w:before="240" w:line="276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MSc in Sustainable Energy Technology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TU Delft, NL | Sep 2019 – Aug 2021</w:t>
        <w:br w:type="textWrapping"/>
        <w:t xml:space="preserve">Specializations: Solar PV, Electrical Grids, Battery and Hydrogen.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B.Tech in Mechanical Engineering</w:t>
      </w:r>
      <w:r w:rsidDel="00000000" w:rsidR="00000000" w:rsidRPr="00000000">
        <w:rPr>
          <w:rtl w:val="0"/>
        </w:rPr>
        <w:t xml:space="preserve">  - VIT University, India | Jul 2013 – May 2017</w:t>
        <w:br w:type="textWrapping"/>
        <w:t xml:space="preserve">Specializations: Operations Research, Project Management, Energy Auditing.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bottom w:color="000000" w:space="2" w:sz="8" w:val="single"/>
        </w:pBdr>
        <w:spacing w:after="80" w:lineRule="auto"/>
        <w:rPr>
          <w:b w:val="1"/>
          <w:bCs w:val="1"/>
          <w:sz w:val="28"/>
          <w:szCs w:val="28"/>
        </w:rPr>
      </w:pPr>
      <w:bookmarkStart w:colFirst="0" w:colLast="0" w:name="_8jpcrpd9at6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TECHNICAL &amp; ANALYTICAL CAPABILITIES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Manufacturing &amp; Scale-Up</w:t>
        <w:br w:type="textWrapping"/>
      </w:r>
      <w:r w:rsidDel="00000000" w:rsidR="00000000" w:rsidRPr="00000000">
        <w:rPr>
          <w:rtl w:val="0"/>
        </w:rPr>
        <w:t xml:space="preserve">Thin-film deposition (CVD, sputtering) · R2R processing · Process window definition · Scale-up risk analysis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Process &amp; Systems Analysis</w:t>
        <w:br w:type="textWrapping"/>
      </w:r>
      <w:r w:rsidDel="00000000" w:rsidR="00000000" w:rsidRPr="00000000">
        <w:rPr>
          <w:rtl w:val="0"/>
        </w:rPr>
        <w:t xml:space="preserve">DoE · Measurement &amp; characterization · RCA · FMEA · Techno-economic reasoning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Operational &amp; Stakeholder Alignment</w:t>
        <w:br w:type="textWrapping"/>
      </w:r>
      <w:r w:rsidDel="00000000" w:rsidR="00000000" w:rsidRPr="00000000">
        <w:rPr>
          <w:rtl w:val="0"/>
        </w:rPr>
        <w:t xml:space="preserve">Cross-functional coordination · Workflow and feedback-loop design · Compliance &amp; audit readiness · EHS considerations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Tools</w:t>
        <w:br w:type="textWrapping"/>
      </w:r>
      <w:r w:rsidDel="00000000" w:rsidR="00000000" w:rsidRPr="00000000">
        <w:rPr>
          <w:rtl w:val="0"/>
        </w:rPr>
        <w:t xml:space="preserve">Python · AutoCAD · MS Office · OriginPro · Google Looker Studio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bottom w:color="000000" w:space="2" w:sz="8" w:val="single"/>
        </w:pBdr>
        <w:spacing w:after="80" w:lineRule="auto"/>
        <w:rPr>
          <w:b w:val="1"/>
          <w:bCs w:val="1"/>
        </w:rPr>
      </w:pPr>
      <w:bookmarkStart w:colFirst="0" w:colLast="0" w:name="_6jqe37rsxsnf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CERTIFICATIONS &amp;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Data Analytics Professional Certificate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English (Professional), Hindi (Native), Dutch (A2-B1)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810" w:left="1440" w:right="1440" w:header="144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swath.subramanian@outlook.com" TargetMode="External"/><Relationship Id="rId7" Type="http://schemas.openxmlformats.org/officeDocument/2006/relationships/hyperlink" Target="https://linkedin.com/in/aswath-subramanian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